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D715EC" w:rsidRDefault="00186376" w:rsidP="00D715EC">
      <w:pPr>
        <w:bidi/>
        <w:jc w:val="both"/>
        <w:rPr>
          <w:rFonts w:ascii="Noor_Badr" w:hAnsi="Noor_Badr" w:cs="Noor_Badr"/>
          <w:sz w:val="32"/>
          <w:szCs w:val="32"/>
          <w:rtl/>
          <w:lang w:bidi="fa-IR"/>
        </w:rPr>
      </w:pPr>
      <w:bookmarkStart w:id="0" w:name="_GoBack"/>
      <w:r w:rsidRPr="00D715EC">
        <w:rPr>
          <w:rFonts w:ascii="Noor_Badr" w:hAnsi="Noor_Badr" w:cs="Noor_Badr"/>
          <w:sz w:val="32"/>
          <w:szCs w:val="32"/>
          <w:rtl/>
          <w:lang w:bidi="fa-IR"/>
        </w:rPr>
        <w:t>خارج اصول</w:t>
      </w:r>
    </w:p>
    <w:p w:rsidR="00186376" w:rsidRPr="00D715EC" w:rsidRDefault="00186376" w:rsidP="00D715EC">
      <w:pPr>
        <w:pBdr>
          <w:bottom w:val="single" w:sz="12" w:space="1" w:color="auto"/>
        </w:pBdr>
        <w:bidi/>
        <w:jc w:val="both"/>
        <w:rPr>
          <w:rFonts w:ascii="Noor_Badr" w:hAnsi="Noor_Badr" w:cs="Noor_Badr"/>
          <w:sz w:val="32"/>
          <w:szCs w:val="32"/>
          <w:rtl/>
          <w:lang w:bidi="fa-IR"/>
        </w:rPr>
      </w:pPr>
      <w:r w:rsidRPr="00D715EC">
        <w:rPr>
          <w:rFonts w:ascii="Noor_Badr" w:hAnsi="Noor_Badr" w:cs="Noor_Badr"/>
          <w:sz w:val="32"/>
          <w:szCs w:val="32"/>
          <w:rtl/>
          <w:lang w:bidi="fa-IR"/>
        </w:rPr>
        <w:t>جلسه 58                                              چهارشنبه 12/ 10/ 97</w:t>
      </w:r>
    </w:p>
    <w:p w:rsidR="00186376" w:rsidRPr="00D715EC" w:rsidRDefault="00186376"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حدیث-ادامه خطبه وسیله</w:t>
      </w:r>
    </w:p>
    <w:p w:rsidR="00186376" w:rsidRPr="00D715EC" w:rsidRDefault="00186376"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و من هتك حجاب غيره انكشف عورات بيته.</w:t>
      </w:r>
    </w:p>
    <w:p w:rsidR="00186376" w:rsidRPr="00D715EC" w:rsidRDefault="00186376"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کسی که نسبت به [زندگی] دیگران پرده دری کند، عیوب زندگی خودش نیز فاش خواهد شد.</w:t>
      </w:r>
    </w:p>
    <w:p w:rsidR="00186376" w:rsidRPr="00D715EC" w:rsidRDefault="00186376"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w:t>
      </w:r>
    </w:p>
    <w:p w:rsidR="00186376" w:rsidRPr="00D715EC" w:rsidRDefault="00D82D2D"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عرض شد که مختار ما همان تفصیل صاحب کفایه است فی الجمله.</w:t>
      </w:r>
    </w:p>
    <w:p w:rsidR="00D82D2D" w:rsidRPr="00D715EC" w:rsidRDefault="006C519A"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ادامه ی توضیح مختار</w:t>
      </w:r>
      <w:r w:rsidRPr="00D715EC">
        <w:rPr>
          <w:rFonts w:ascii="Noor_Badr" w:hAnsi="Noor_Badr" w:cs="Noor_Badr"/>
          <w:sz w:val="32"/>
          <w:szCs w:val="32"/>
          <w:vertAlign w:val="superscript"/>
          <w:rtl/>
          <w:lang w:bidi="fa-IR"/>
        </w:rPr>
        <w:footnoteReference w:id="1"/>
      </w:r>
      <w:r w:rsidRPr="00D715EC">
        <w:rPr>
          <w:rFonts w:ascii="Noor_Badr" w:hAnsi="Noor_Badr" w:cs="Noor_Badr"/>
          <w:sz w:val="32"/>
          <w:szCs w:val="32"/>
          <w:rtl/>
          <w:lang w:bidi="fa-IR"/>
        </w:rPr>
        <w:t>:</w:t>
      </w:r>
    </w:p>
    <w:p w:rsidR="006C519A" w:rsidRPr="00D715EC" w:rsidRDefault="006C519A"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 xml:space="preserve">چنین اصلی که تحکم از ظاهرش پیداست و تقید ماموربه را توسعه می دهد، عنوان قاعده ی اولیه در تمام موارد طهارت و حلیت را به دو صورت واقعی و ظاهری بیان می نماید و محتوای قاعده دال بر إجزا می باشد که از آن حکم عامی پدید آمده است و تا مخصص و مقیدی پیدا نشود بر عمومیت خود باقی است لکن بخاطر قاعده ی مشهور "ما من عام الا و قدخص"، قاعده ی اصالة الهارة و اصالة الحلیة توسط ادله ی شرعیه تخصیص خورده است مثل استصحاب طهارت حدثی در باب نماز با </w:t>
      </w:r>
      <w:r w:rsidRPr="00D715EC">
        <w:rPr>
          <w:rFonts w:ascii="Noor_Badr" w:hAnsi="Noor_Badr" w:cs="Noor_Badr"/>
          <w:sz w:val="32"/>
          <w:szCs w:val="32"/>
          <w:rtl/>
          <w:lang w:bidi="fa-IR"/>
        </w:rPr>
        <w:lastRenderedPageBreak/>
        <w:t>فرض اینکه اصل تحکمی است، دلیل می گوید: شرط نماز تقید به طهارت واقعی است نه ظاهری</w:t>
      </w:r>
      <w:r w:rsidR="000169AC" w:rsidRPr="00D715EC">
        <w:rPr>
          <w:rFonts w:ascii="Noor_Badr" w:hAnsi="Noor_Badr" w:cs="Noor_Badr"/>
          <w:sz w:val="32"/>
          <w:szCs w:val="32"/>
          <w:rtl/>
          <w:lang w:bidi="fa-IR"/>
        </w:rPr>
        <w:t>؛ این در مورد اصول.</w:t>
      </w:r>
    </w:p>
    <w:p w:rsidR="000169AC" w:rsidRPr="00D715EC" w:rsidRDefault="000169AC"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اما در مورد امارات که مرحوم آخوند قائل به إجزاء نشد:</w:t>
      </w:r>
    </w:p>
    <w:p w:rsidR="000169AC" w:rsidRPr="00D715EC" w:rsidRDefault="000169AC"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تفاوت بین اصول و امارات، اساسی است که محققین زیادی آن را بیان کرده اند:</w:t>
      </w:r>
    </w:p>
    <w:p w:rsidR="000169AC" w:rsidRPr="00D715EC" w:rsidRDefault="000D10C5" w:rsidP="00D715EC">
      <w:pPr>
        <w:bidi/>
        <w:jc w:val="both"/>
        <w:rPr>
          <w:rFonts w:ascii="Noor_Badr" w:hAnsi="Noor_Badr" w:cs="Noor_Badr"/>
          <w:sz w:val="32"/>
          <w:szCs w:val="32"/>
          <w:lang w:bidi="fa-IR"/>
        </w:rPr>
      </w:pPr>
      <w:r w:rsidRPr="00D715EC">
        <w:rPr>
          <w:rFonts w:ascii="Noor_Badr" w:hAnsi="Noor_Badr" w:cs="Noor_Badr"/>
          <w:sz w:val="32"/>
          <w:szCs w:val="32"/>
          <w:rtl/>
          <w:lang w:bidi="fa-IR"/>
        </w:rPr>
        <w:t>فرمایش محقق اصفهانی</w:t>
      </w:r>
      <w:r w:rsidRPr="00D715EC">
        <w:rPr>
          <w:rStyle w:val="FootnoteReference"/>
          <w:rFonts w:ascii="Noor_Badr" w:hAnsi="Noor_Badr" w:cs="Noor_Badr"/>
          <w:sz w:val="32"/>
          <w:szCs w:val="32"/>
          <w:rtl/>
          <w:lang w:bidi="fa-IR"/>
        </w:rPr>
        <w:footnoteReference w:id="2"/>
      </w:r>
      <w:r w:rsidRPr="00D715EC">
        <w:rPr>
          <w:rFonts w:ascii="Noor_Badr" w:hAnsi="Noor_Badr" w:cs="Noor_Badr"/>
          <w:sz w:val="32"/>
          <w:szCs w:val="32"/>
          <w:rtl/>
          <w:lang w:bidi="fa-IR"/>
        </w:rPr>
        <w:t xml:space="preserve"> در منتهی الاصول منقول در منتقی الاصول:</w:t>
      </w:r>
      <w:r w:rsidR="00A001C9" w:rsidRPr="00D715EC">
        <w:rPr>
          <w:rStyle w:val="FootnoteReference"/>
          <w:rFonts w:ascii="Noor_Badr" w:hAnsi="Noor_Badr" w:cs="Noor_Badr"/>
          <w:sz w:val="32"/>
          <w:szCs w:val="32"/>
          <w:rtl/>
          <w:lang w:bidi="fa-IR"/>
        </w:rPr>
        <w:footnoteReference w:id="3"/>
      </w:r>
    </w:p>
    <w:p w:rsidR="00B23A87" w:rsidRPr="00D715EC" w:rsidRDefault="001B0E12"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ان لسان دليل الأصل يختلف عن لسان دليل الأمارة</w:t>
      </w:r>
      <w:r w:rsidR="00B23A87" w:rsidRPr="00D715EC">
        <w:rPr>
          <w:rFonts w:ascii="Noor_Badr" w:hAnsi="Noor_Badr" w:cs="Noor_Badr"/>
          <w:sz w:val="32"/>
          <w:szCs w:val="32"/>
          <w:rtl/>
          <w:lang w:bidi="fa-IR"/>
        </w:rPr>
        <w:t>؛</w:t>
      </w:r>
      <w:r w:rsidR="00450802" w:rsidRPr="00D715EC">
        <w:rPr>
          <w:rFonts w:ascii="Noor_Badr" w:hAnsi="Noor_Badr" w:cs="Noor_Badr"/>
          <w:sz w:val="32"/>
          <w:szCs w:val="32"/>
          <w:rtl/>
          <w:lang w:bidi="fa-IR"/>
        </w:rPr>
        <w:t>*</w:t>
      </w:r>
    </w:p>
    <w:p w:rsidR="00B23A87" w:rsidRPr="00D715EC" w:rsidRDefault="001B0E12"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فان</w:t>
      </w:r>
      <w:r w:rsidR="005B72D7" w:rsidRPr="00D715EC">
        <w:rPr>
          <w:rFonts w:ascii="Noor_Badr" w:hAnsi="Noor_Badr" w:cs="Noor_Badr"/>
          <w:sz w:val="32"/>
          <w:szCs w:val="32"/>
          <w:rtl/>
          <w:lang w:bidi="fa-IR"/>
        </w:rPr>
        <w:t>**</w:t>
      </w:r>
      <w:r w:rsidRPr="00D715EC">
        <w:rPr>
          <w:rFonts w:ascii="Noor_Badr" w:hAnsi="Noor_Badr" w:cs="Noor_Badr"/>
          <w:sz w:val="32"/>
          <w:szCs w:val="32"/>
          <w:rtl/>
          <w:lang w:bidi="fa-IR"/>
        </w:rPr>
        <w:t>لسان الأصل مفاده جعل فرد ظاهري للطهارة في مقابل الفرد الواقعي، مع‏ غ</w:t>
      </w:r>
      <w:r w:rsidR="007568DE" w:rsidRPr="00D715EC">
        <w:rPr>
          <w:rFonts w:ascii="Noor_Badr" w:hAnsi="Noor_Badr" w:cs="Noor_Badr"/>
          <w:sz w:val="32"/>
          <w:szCs w:val="32"/>
          <w:rtl/>
          <w:lang w:bidi="fa-IR"/>
        </w:rPr>
        <w:t xml:space="preserve">ض </w:t>
      </w:r>
      <w:r w:rsidR="00FD7A74" w:rsidRPr="00D715EC">
        <w:rPr>
          <w:rFonts w:ascii="Noor_Badr" w:hAnsi="Noor_Badr" w:cs="Noor_Badr"/>
          <w:sz w:val="32"/>
          <w:szCs w:val="32"/>
          <w:rtl/>
          <w:lang w:bidi="fa-IR"/>
        </w:rPr>
        <w:t>النّظر عن الواقع، فيتكفل قهرا***</w:t>
      </w:r>
      <w:r w:rsidRPr="00D715EC">
        <w:rPr>
          <w:rFonts w:ascii="Noor_Badr" w:hAnsi="Noor_Badr" w:cs="Noor_Badr"/>
          <w:sz w:val="32"/>
          <w:szCs w:val="32"/>
          <w:rtl/>
          <w:lang w:bidi="fa-IR"/>
        </w:rPr>
        <w:t>ثبوت الحكم لهذا الفرد يوجب التوسعة في موضوع الحكم، فيكون أعم من الفرد الواقعي و ا</w:t>
      </w:r>
      <w:r w:rsidR="00B23A87" w:rsidRPr="00D715EC">
        <w:rPr>
          <w:rFonts w:ascii="Noor_Badr" w:hAnsi="Noor_Badr" w:cs="Noor_Badr"/>
          <w:sz w:val="32"/>
          <w:szCs w:val="32"/>
          <w:rtl/>
          <w:lang w:bidi="fa-IR"/>
        </w:rPr>
        <w:t>لظاهري، فلا يتصور فيه كشف خلاف.</w:t>
      </w:r>
    </w:p>
    <w:p w:rsidR="000169AC" w:rsidRPr="00D715EC" w:rsidRDefault="001B0E12"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 xml:space="preserve">و لسان الأمارة مفاده جعل الفرد الواقعي و اعتباره و بيان ان مفاد الأمارة هو الواقع، فلا تتكفل جعل شي‏ء في قبال الواقع بل تتكفل اعتبار </w:t>
      </w:r>
      <w:r w:rsidR="002304B2" w:rsidRPr="00D715EC">
        <w:rPr>
          <w:rFonts w:ascii="Noor_Badr" w:hAnsi="Noor_Badr" w:cs="Noor_Badr"/>
          <w:sz w:val="32"/>
          <w:szCs w:val="32"/>
          <w:rtl/>
          <w:lang w:bidi="fa-IR"/>
        </w:rPr>
        <w:t>"</w:t>
      </w:r>
      <w:r w:rsidRPr="00D715EC">
        <w:rPr>
          <w:rFonts w:ascii="Noor_Badr" w:hAnsi="Noor_Badr" w:cs="Noor_Badr"/>
          <w:sz w:val="32"/>
          <w:szCs w:val="32"/>
          <w:rtl/>
          <w:lang w:bidi="fa-IR"/>
        </w:rPr>
        <w:t>هذا هو الواقع</w:t>
      </w:r>
      <w:r w:rsidR="002304B2" w:rsidRPr="00D715EC">
        <w:rPr>
          <w:rFonts w:ascii="Noor_Badr" w:hAnsi="Noor_Badr" w:cs="Noor_Badr"/>
          <w:sz w:val="32"/>
          <w:szCs w:val="32"/>
          <w:rtl/>
          <w:lang w:bidi="fa-IR"/>
        </w:rPr>
        <w:t>"</w:t>
      </w:r>
      <w:r w:rsidRPr="00D715EC">
        <w:rPr>
          <w:rFonts w:ascii="Noor_Badr" w:hAnsi="Noor_Badr" w:cs="Noor_Badr"/>
          <w:sz w:val="32"/>
          <w:szCs w:val="32"/>
          <w:rtl/>
          <w:lang w:bidi="fa-IR"/>
        </w:rPr>
        <w:t>، فلا يقتضي التوسعة في موضوع الحكم، بل تتكفل ثبوت آثار الواقع لما اعتبر بها، فإذا تبين انه غير الواقع كان من باب انكشاف الخلاف، إذ لم تثبت الآثار الواقعية له، بل تثبت آثار الواقع للبناء على انه الواقع، فيتصور فيه انكشاف الخلاف بخلاف الأصل، فانه لما لم يكن الاعتبار فيه بلحاظ الواقع</w:t>
      </w:r>
      <w:r w:rsidR="0044610D" w:rsidRPr="00D715EC">
        <w:rPr>
          <w:rFonts w:ascii="Noor_Badr" w:hAnsi="Noor_Badr" w:cs="Noor_Badr"/>
          <w:sz w:val="32"/>
          <w:szCs w:val="32"/>
          <w:rtl/>
          <w:lang w:bidi="fa-IR"/>
        </w:rPr>
        <w:t>،</w:t>
      </w:r>
      <w:r w:rsidRPr="00D715EC">
        <w:rPr>
          <w:rFonts w:ascii="Noor_Badr" w:hAnsi="Noor_Badr" w:cs="Noor_Badr"/>
          <w:sz w:val="32"/>
          <w:szCs w:val="32"/>
          <w:rtl/>
          <w:lang w:bidi="fa-IR"/>
        </w:rPr>
        <w:t xml:space="preserve"> كان متكفلا للتوسعة في </w:t>
      </w:r>
      <w:r w:rsidR="00673D15" w:rsidRPr="00D715EC">
        <w:rPr>
          <w:rFonts w:ascii="Noor_Badr" w:hAnsi="Noor_Badr" w:cs="Noor_Badr"/>
          <w:sz w:val="32"/>
          <w:szCs w:val="32"/>
          <w:rtl/>
          <w:lang w:bidi="fa-IR"/>
        </w:rPr>
        <w:t xml:space="preserve">الموضوع و ثبوت الآثار الواقعية؛ </w:t>
      </w:r>
      <w:r w:rsidRPr="00D715EC">
        <w:rPr>
          <w:rFonts w:ascii="Noor_Badr" w:hAnsi="Noor_Badr" w:cs="Noor_Badr"/>
          <w:sz w:val="32"/>
          <w:szCs w:val="32"/>
          <w:rtl/>
          <w:lang w:bidi="fa-IR"/>
        </w:rPr>
        <w:t>فلا معنى لانكشاف الخ</w:t>
      </w:r>
      <w:r w:rsidR="000820AA" w:rsidRPr="00D715EC">
        <w:rPr>
          <w:rFonts w:ascii="Noor_Badr" w:hAnsi="Noor_Badr" w:cs="Noor_Badr"/>
          <w:sz w:val="32"/>
          <w:szCs w:val="32"/>
          <w:rtl/>
          <w:lang w:bidi="fa-IR"/>
        </w:rPr>
        <w:t>لاف، بل يزول الحكم بزوال موضوعه.</w:t>
      </w:r>
      <w:r w:rsidR="00673D15" w:rsidRPr="00D715EC">
        <w:rPr>
          <w:rFonts w:ascii="Noor_Badr" w:hAnsi="Noor_Badr" w:cs="Noor_Badr"/>
          <w:sz w:val="32"/>
          <w:szCs w:val="32"/>
          <w:rtl/>
          <w:lang w:bidi="fa-IR"/>
        </w:rPr>
        <w:t>****</w:t>
      </w:r>
    </w:p>
    <w:p w:rsidR="00071576" w:rsidRPr="00D715EC" w:rsidRDefault="00450802"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 xml:space="preserve">*لسان در اینجا </w:t>
      </w:r>
      <w:r w:rsidR="006104CE" w:rsidRPr="00D715EC">
        <w:rPr>
          <w:rFonts w:ascii="Noor_Badr" w:hAnsi="Noor_Badr" w:cs="Noor_Badr"/>
          <w:sz w:val="32"/>
          <w:szCs w:val="32"/>
          <w:rtl/>
          <w:lang w:bidi="fa-IR"/>
        </w:rPr>
        <w:t>منظور</w:t>
      </w:r>
      <w:r w:rsidRPr="00D715EC">
        <w:rPr>
          <w:rFonts w:ascii="Noor_Badr" w:hAnsi="Noor_Badr" w:cs="Noor_Badr"/>
          <w:sz w:val="32"/>
          <w:szCs w:val="32"/>
          <w:rtl/>
          <w:lang w:bidi="fa-IR"/>
        </w:rPr>
        <w:t xml:space="preserve"> مقام اثبات</w:t>
      </w:r>
      <w:r w:rsidR="006104CE" w:rsidRPr="00D715EC">
        <w:rPr>
          <w:rFonts w:ascii="Noor_Badr" w:hAnsi="Noor_Badr" w:cs="Noor_Badr"/>
          <w:sz w:val="32"/>
          <w:szCs w:val="32"/>
          <w:rtl/>
          <w:lang w:bidi="fa-IR"/>
        </w:rPr>
        <w:t xml:space="preserve"> است</w:t>
      </w:r>
      <w:r w:rsidRPr="00D715EC">
        <w:rPr>
          <w:rFonts w:ascii="Noor_Badr" w:hAnsi="Noor_Badr" w:cs="Noor_Badr"/>
          <w:sz w:val="32"/>
          <w:szCs w:val="32"/>
          <w:rtl/>
          <w:lang w:bidi="fa-IR"/>
        </w:rPr>
        <w:t xml:space="preserve"> نه ثبوت زیرا برای یک فقیه در استنباط احکام، مقام ثبوت مهم و مفید است.</w:t>
      </w:r>
    </w:p>
    <w:p w:rsidR="00677B00" w:rsidRPr="00D715EC" w:rsidRDefault="005B72D7"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w:t>
      </w:r>
      <w:r w:rsidR="00CA1461" w:rsidRPr="00D715EC">
        <w:rPr>
          <w:rFonts w:ascii="Noor_Badr" w:hAnsi="Noor_Badr" w:cs="Noor_Badr"/>
          <w:sz w:val="32"/>
          <w:szCs w:val="32"/>
          <w:rtl/>
          <w:lang w:bidi="fa-IR"/>
        </w:rPr>
        <w:t>أی: لأنّ (</w:t>
      </w:r>
      <w:r w:rsidR="00B26E32" w:rsidRPr="00D715EC">
        <w:rPr>
          <w:rFonts w:ascii="Noor_Badr" w:hAnsi="Noor_Badr" w:cs="Noor_Badr"/>
          <w:sz w:val="32"/>
          <w:szCs w:val="32"/>
          <w:rtl/>
          <w:lang w:bidi="fa-IR"/>
        </w:rPr>
        <w:t xml:space="preserve">بیان </w:t>
      </w:r>
      <w:r w:rsidRPr="00D715EC">
        <w:rPr>
          <w:rFonts w:ascii="Noor_Badr" w:hAnsi="Noor_Badr" w:cs="Noor_Badr"/>
          <w:sz w:val="32"/>
          <w:szCs w:val="32"/>
          <w:rtl/>
          <w:lang w:bidi="fa-IR"/>
        </w:rPr>
        <w:t xml:space="preserve">دلیل اختلاف لسان </w:t>
      </w:r>
      <w:r w:rsidR="00CA1461" w:rsidRPr="00D715EC">
        <w:rPr>
          <w:rFonts w:ascii="Noor_Badr" w:hAnsi="Noor_Badr" w:cs="Noor_Badr"/>
          <w:sz w:val="32"/>
          <w:szCs w:val="32"/>
          <w:rtl/>
          <w:lang w:bidi="fa-IR"/>
        </w:rPr>
        <w:t>اصل با لسان اماره)</w:t>
      </w:r>
      <w:r w:rsidR="003C168C" w:rsidRPr="00D715EC">
        <w:rPr>
          <w:rFonts w:ascii="Noor_Badr" w:hAnsi="Noor_Badr" w:cs="Noor_Badr"/>
          <w:sz w:val="32"/>
          <w:szCs w:val="32"/>
          <w:rtl/>
          <w:lang w:bidi="fa-IR"/>
        </w:rPr>
        <w:t>.</w:t>
      </w:r>
    </w:p>
    <w:p w:rsidR="007568DE" w:rsidRPr="00D715EC" w:rsidRDefault="007568DE"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***اشاره به حکومت قهری مانند"المحوز مملوک-کل مملوک جائز بیعه".</w:t>
      </w:r>
    </w:p>
    <w:p w:rsidR="00673D15" w:rsidRPr="00D715EC" w:rsidRDefault="00673D15"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****از این دو جهت، اصل از ا</w:t>
      </w:r>
      <w:r w:rsidR="000D10C5" w:rsidRPr="00D715EC">
        <w:rPr>
          <w:rFonts w:ascii="Noor_Badr" w:hAnsi="Noor_Badr" w:cs="Noor_Badr"/>
          <w:sz w:val="32"/>
          <w:szCs w:val="32"/>
          <w:rtl/>
          <w:lang w:bidi="fa-IR"/>
        </w:rPr>
        <w:t>مار</w:t>
      </w:r>
      <w:r w:rsidRPr="00D715EC">
        <w:rPr>
          <w:rFonts w:ascii="Noor_Badr" w:hAnsi="Noor_Badr" w:cs="Noor_Badr"/>
          <w:sz w:val="32"/>
          <w:szCs w:val="32"/>
          <w:rtl/>
          <w:lang w:bidi="fa-IR"/>
        </w:rPr>
        <w:t>ه قوی تر است:</w:t>
      </w:r>
    </w:p>
    <w:p w:rsidR="00673D15" w:rsidRPr="00D715EC" w:rsidRDefault="00673D15"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1-اصل مجزی است بخلاف اماره.</w:t>
      </w:r>
    </w:p>
    <w:p w:rsidR="00673D15" w:rsidRPr="00D715EC" w:rsidRDefault="00673D15" w:rsidP="00D715EC">
      <w:pPr>
        <w:bidi/>
        <w:jc w:val="both"/>
        <w:rPr>
          <w:rFonts w:ascii="Noor_Badr" w:hAnsi="Noor_Badr" w:cs="Noor_Badr"/>
          <w:sz w:val="32"/>
          <w:szCs w:val="32"/>
          <w:rtl/>
          <w:lang w:bidi="fa-IR"/>
        </w:rPr>
      </w:pPr>
      <w:r w:rsidRPr="00D715EC">
        <w:rPr>
          <w:rFonts w:ascii="Noor_Badr" w:hAnsi="Noor_Badr" w:cs="Noor_Badr"/>
          <w:sz w:val="32"/>
          <w:szCs w:val="32"/>
          <w:rtl/>
          <w:lang w:bidi="fa-IR"/>
        </w:rPr>
        <w:t>2-اصل همیشه صادق است ولی اماره گاهی کاذب است.</w:t>
      </w:r>
    </w:p>
    <w:p w:rsidR="002304B2" w:rsidRPr="00D715EC" w:rsidRDefault="002304B2" w:rsidP="00D715EC">
      <w:pPr>
        <w:bidi/>
        <w:jc w:val="both"/>
        <w:rPr>
          <w:rFonts w:ascii="Noor_Badr" w:hAnsi="Noor_Badr" w:cs="Noor_Badr"/>
          <w:sz w:val="32"/>
          <w:szCs w:val="32"/>
          <w:lang w:bidi="fa-IR"/>
        </w:rPr>
      </w:pPr>
      <w:r w:rsidRPr="00D715EC">
        <w:rPr>
          <w:rFonts w:ascii="Noor_Badr" w:hAnsi="Noor_Badr" w:cs="Noor_Badr"/>
          <w:sz w:val="32"/>
          <w:szCs w:val="32"/>
          <w:rtl/>
          <w:lang w:bidi="fa-IR"/>
        </w:rPr>
        <w:t>(پایان)</w:t>
      </w:r>
      <w:bookmarkEnd w:id="0"/>
    </w:p>
    <w:sectPr w:rsidR="002304B2" w:rsidRPr="00D715EC" w:rsidSect="00BB744C">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A18" w:rsidRDefault="00960A18" w:rsidP="00DA69D6">
      <w:pPr>
        <w:spacing w:after="0" w:line="240" w:lineRule="auto"/>
      </w:pPr>
      <w:r>
        <w:separator/>
      </w:r>
    </w:p>
  </w:endnote>
  <w:endnote w:type="continuationSeparator" w:id="0">
    <w:p w:rsidR="00960A18" w:rsidRDefault="00960A18" w:rsidP="00DA6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A18" w:rsidRDefault="00960A18" w:rsidP="00DA69D6">
      <w:pPr>
        <w:spacing w:after="0" w:line="240" w:lineRule="auto"/>
      </w:pPr>
      <w:r>
        <w:separator/>
      </w:r>
    </w:p>
  </w:footnote>
  <w:footnote w:type="continuationSeparator" w:id="0">
    <w:p w:rsidR="00960A18" w:rsidRDefault="00960A18" w:rsidP="00DA69D6">
      <w:pPr>
        <w:spacing w:after="0" w:line="240" w:lineRule="auto"/>
      </w:pPr>
      <w:r>
        <w:continuationSeparator/>
      </w:r>
    </w:p>
  </w:footnote>
  <w:footnote w:id="1">
    <w:p w:rsidR="006C519A" w:rsidRPr="00DA69D6" w:rsidRDefault="006C519A" w:rsidP="006C519A">
      <w:pPr>
        <w:pStyle w:val="FootnoteText"/>
        <w:rPr>
          <w:sz w:val="24"/>
          <w:szCs w:val="24"/>
          <w:rtl/>
        </w:rPr>
      </w:pPr>
      <w:r w:rsidRPr="00DA69D6">
        <w:rPr>
          <w:rStyle w:val="FootnoteReference"/>
          <w:sz w:val="24"/>
          <w:szCs w:val="24"/>
        </w:rPr>
        <w:footnoteRef/>
      </w:r>
      <w:r w:rsidRPr="00DA69D6">
        <w:rPr>
          <w:sz w:val="24"/>
          <w:szCs w:val="24"/>
        </w:rPr>
        <w:t xml:space="preserve"> </w:t>
      </w:r>
      <w:r w:rsidRPr="00DA69D6">
        <w:rPr>
          <w:sz w:val="24"/>
          <w:szCs w:val="24"/>
          <w:rtl/>
          <w:lang w:bidi="fa-IR"/>
        </w:rPr>
        <w:t>نظریه ی مختار:</w:t>
      </w:r>
      <w:r w:rsidRPr="00DA69D6">
        <w:rPr>
          <w:rFonts w:hint="cs"/>
          <w:sz w:val="24"/>
          <w:szCs w:val="24"/>
          <w:rtl/>
        </w:rPr>
        <w:t xml:space="preserve"> </w:t>
      </w:r>
      <w:r w:rsidRPr="00DA69D6">
        <w:rPr>
          <w:sz w:val="24"/>
          <w:szCs w:val="24"/>
          <w:rtl/>
          <w:lang w:bidi="fa-IR"/>
        </w:rPr>
        <w:t>بعد از آن که اشکالات محقق خوئی و محقق نائینی بر صاحب کفایه را جواب دادیم، مختار ما تفصیل صاحب کفایه است لکن فی الجمله.</w:t>
      </w:r>
      <w:r w:rsidRPr="00DA69D6">
        <w:rPr>
          <w:rFonts w:hint="cs"/>
          <w:sz w:val="24"/>
          <w:szCs w:val="24"/>
          <w:rtl/>
        </w:rPr>
        <w:t xml:space="preserve"> </w:t>
      </w:r>
      <w:r w:rsidRPr="00DA69D6">
        <w:rPr>
          <w:sz w:val="24"/>
          <w:szCs w:val="24"/>
          <w:rtl/>
          <w:lang w:bidi="fa-IR"/>
        </w:rPr>
        <w:t>توضیح: هر اصلی که لسانش، لسان اثبات متعلق اش در عالم واقع و بشکل ظاهری باشد و هیچ نظری به عالم واقع نداشته باشد بلکه در مقام بیان این باشد که موضوع یا متعلق تکلیف از نظر شرط و جزء، قابل توسعه هست بطوریکه تقید موضوع و متعلق به شرط را، اعم از تقید به وجود شرط واقعی و ظاهری در زمان شک اثبات کند، چنین اصلی حاکم بر ادله ی شروط است و با کشف خلاف، ماموربه، تام الاجزاء و الشرایط محسوب می شود و باید قائل به إجزاء شویم.</w:t>
      </w:r>
    </w:p>
  </w:footnote>
  <w:footnote w:id="2">
    <w:p w:rsidR="00280D22" w:rsidRPr="00280D22" w:rsidRDefault="000D10C5" w:rsidP="00280D22">
      <w:pPr>
        <w:pStyle w:val="FootnoteText"/>
        <w:rPr>
          <w:sz w:val="24"/>
          <w:szCs w:val="24"/>
        </w:rPr>
      </w:pPr>
      <w:r w:rsidRPr="00280D22">
        <w:rPr>
          <w:rStyle w:val="FootnoteReference"/>
          <w:sz w:val="24"/>
          <w:szCs w:val="24"/>
        </w:rPr>
        <w:footnoteRef/>
      </w:r>
      <w:r w:rsidRPr="00280D22">
        <w:rPr>
          <w:sz w:val="24"/>
          <w:szCs w:val="24"/>
        </w:rPr>
        <w:t xml:space="preserve"> </w:t>
      </w:r>
      <w:r w:rsidR="00280D22" w:rsidRPr="00280D22">
        <w:rPr>
          <w:rFonts w:hint="cs"/>
          <w:sz w:val="24"/>
          <w:szCs w:val="24"/>
          <w:rtl/>
          <w:lang w:bidi="fa-IR"/>
        </w:rPr>
        <w:t xml:space="preserve">إلا </w:t>
      </w:r>
      <w:r w:rsidR="00280D22" w:rsidRPr="00280D22">
        <w:rPr>
          <w:rFonts w:hint="cs"/>
          <w:sz w:val="24"/>
          <w:szCs w:val="24"/>
          <w:rtl/>
          <w:lang w:bidi="fa-IR"/>
        </w:rPr>
        <w:t>أنّ لسان الدليل حيث إنه مختلف، فلا محالة يختلف مقدار استكشاف الحكم المماثل المنشأ بقاعدة الطهارة أو بدليل الأمارة.و من الواضح أن مفاد قوله عليه السلام:«كلّ شي‏ء طاهر أو حلال»</w:t>
      </w:r>
      <w:r w:rsidR="00280D22" w:rsidRPr="00280D22">
        <w:rPr>
          <w:rFonts w:hint="cs"/>
          <w:sz w:val="24"/>
          <w:szCs w:val="24"/>
          <w:vertAlign w:val="superscript"/>
          <w:rtl/>
          <w:lang w:bidi="fa-IR"/>
        </w:rPr>
        <w:t xml:space="preserve"> </w:t>
      </w:r>
      <w:r w:rsidR="00280D22" w:rsidRPr="00280D22">
        <w:rPr>
          <w:rFonts w:hint="cs"/>
          <w:sz w:val="24"/>
          <w:szCs w:val="24"/>
          <w:rtl/>
          <w:lang w:bidi="fa-IR"/>
        </w:rPr>
        <w:t>هو الحكم بالطهارة أو الحلية ابتداء من غير نظر إلى واقع يحكي عنه، و الحكم بالطهارة حكم بترتيب آثارها، و إنشاء لأحكامها التكليفية و الوضعية- و منها الشرطية- فلا محالة يوجب ضمّه إلى الأدلّة الواقعية التوسعة في الشرطية، و مثله ليس له كشف الخلاف؛ لأنّ ضمّ غير الواقع إلى الواقع لم ينكشف خلافه، بخلاف دليل الأمارة إذا قامت على الطهارة، فإنّ معنى تصديقها و سماعها البناء على وجود ما هو شرط واقعا، فيناسبه إنشاء أحكام‏ الشرط الموجود كجواز الدخول في الصلاة، لا إنشاء الشرطية؛ إذ المفروض دلالة العبارة على البناء على وجود الطهارة الثابتة شرطيتها واقعا بدليلها [الحاكي‏]</w:t>
      </w:r>
      <w:r w:rsidR="00280D22" w:rsidRPr="00280D22">
        <w:rPr>
          <w:rFonts w:hint="cs"/>
          <w:sz w:val="24"/>
          <w:szCs w:val="24"/>
          <w:vertAlign w:val="superscript"/>
          <w:rtl/>
          <w:lang w:bidi="fa-IR"/>
        </w:rPr>
        <w:t xml:space="preserve"> </w:t>
      </w:r>
      <w:r w:rsidR="00280D22" w:rsidRPr="00280D22">
        <w:rPr>
          <w:rFonts w:hint="cs"/>
          <w:sz w:val="24"/>
          <w:szCs w:val="24"/>
          <w:rtl/>
          <w:lang w:bidi="fa-IR"/>
        </w:rPr>
        <w:t>عنها، لا الحكم بالطهارة ابتداء، فإذا انكشف عدم الطهارة واقعا فقد انكشف وقوع الصلاة بلا شرط.</w:t>
      </w:r>
    </w:p>
    <w:p w:rsidR="000D10C5" w:rsidRPr="00280D22" w:rsidRDefault="00280D22" w:rsidP="00280D22">
      <w:pPr>
        <w:pStyle w:val="FootnoteText"/>
        <w:rPr>
          <w:sz w:val="24"/>
          <w:szCs w:val="24"/>
          <w:rtl/>
          <w:lang w:bidi="fa-IR"/>
        </w:rPr>
      </w:pPr>
      <w:r w:rsidRPr="00280D22">
        <w:rPr>
          <w:rFonts w:hint="cs"/>
          <w:sz w:val="24"/>
          <w:szCs w:val="24"/>
          <w:rtl/>
          <w:lang w:bidi="fa-IR"/>
        </w:rPr>
        <w:t>نهاية الدراية في شرح الكفاية، ج‏1، ص: 392</w:t>
      </w:r>
    </w:p>
  </w:footnote>
  <w:footnote w:id="3">
    <w:p w:rsidR="000D35BD" w:rsidRDefault="00A001C9" w:rsidP="00D00BCE">
      <w:pPr>
        <w:pStyle w:val="FootnoteText"/>
        <w:rPr>
          <w:sz w:val="24"/>
          <w:szCs w:val="24"/>
          <w:rtl/>
          <w:lang w:bidi="fa-IR"/>
        </w:rPr>
      </w:pPr>
      <w:r w:rsidRPr="00D00BCE">
        <w:rPr>
          <w:rStyle w:val="FootnoteReference"/>
          <w:sz w:val="24"/>
          <w:szCs w:val="24"/>
        </w:rPr>
        <w:footnoteRef/>
      </w:r>
      <w:r w:rsidRPr="00D00BCE">
        <w:rPr>
          <w:sz w:val="24"/>
          <w:szCs w:val="24"/>
        </w:rPr>
        <w:t xml:space="preserve"> </w:t>
      </w:r>
      <w:r w:rsidR="00D00BCE" w:rsidRPr="00D00BCE">
        <w:rPr>
          <w:rFonts w:hint="cs"/>
          <w:sz w:val="24"/>
          <w:szCs w:val="24"/>
          <w:rtl/>
          <w:lang w:bidi="fa-IR"/>
        </w:rPr>
        <w:t xml:space="preserve">ان </w:t>
      </w:r>
      <w:r w:rsidR="00D00BCE" w:rsidRPr="00D00BCE">
        <w:rPr>
          <w:rFonts w:hint="cs"/>
          <w:sz w:val="24"/>
          <w:szCs w:val="24"/>
          <w:rtl/>
          <w:lang w:bidi="fa-IR"/>
        </w:rPr>
        <w:t>لسان دليل الأصل يختلف عن لسان دليل الأمارة فان لسان الأصل مفاده جعل فرد ظاهري للطهارة في مقابل الفرد الواقعي، مع‏</w:t>
      </w:r>
      <w:r w:rsidR="00D00BCE">
        <w:rPr>
          <w:rFonts w:hint="cs"/>
          <w:sz w:val="24"/>
          <w:szCs w:val="24"/>
          <w:rtl/>
          <w:lang w:bidi="fa-IR"/>
        </w:rPr>
        <w:t xml:space="preserve"> </w:t>
      </w:r>
      <w:r w:rsidRPr="00A001C9">
        <w:rPr>
          <w:rFonts w:hint="cs"/>
          <w:sz w:val="24"/>
          <w:szCs w:val="24"/>
          <w:rtl/>
          <w:lang w:bidi="fa-IR"/>
        </w:rPr>
        <w:t>ان لسان دليل الأصل يختلف عن لسان دليل الأمارة فان لسان الأصل مفاده جعل فرد ظاهري للطهارة في مقابل الفرد الواقعي، مع‏ غض النّظر عن الواقع، فيتكفل قهرا ثبوت الحكم لهذا الفرد يوجب التوسعة في موضوع الحكم، فيكون أعم من الفرد الواقعي و الظاهري، فلا يتصور فيه كشف خلاف. و لسان الأمارة مفاده جعل الفرد الواقعي و اعتباره و بيان ان مفاد الأمارة هو الواقع، فلا تتكفل جعل شي‏ء في قبال الواقع بل تتكفل اعتبار هذا هو الواقع، فلا يقتضي التوسعة في موضوع الحكم، بل تتكفل ثبوت آثار الواقع لما اعتبر بها، فإذا تبين انه غير الواقع كان من باب انكشاف الخلاف، إذ لم تثبت الآثار الواقعية له، بل تثبت آثار الواقع للبناء على انه الواقع، فيتصور فيه انكشاف الخلاف بخلاف الأصل، فانه لما لم يكن الاعتبار فيه بلحاظ الواقع كان متكفلا للتوسعة في الموضوع و ثبوت الآثار الواقعية، فلا معنى لانكشاف الخلاف، بل يزول الحكم بزوال موضوعه‏</w:t>
      </w:r>
    </w:p>
    <w:p w:rsidR="00A001C9" w:rsidRPr="000D35BD" w:rsidRDefault="000D35BD" w:rsidP="000D35BD">
      <w:pPr>
        <w:pStyle w:val="FootnoteText"/>
        <w:rPr>
          <w:sz w:val="40"/>
          <w:szCs w:val="40"/>
          <w:vertAlign w:val="superscript"/>
          <w:rtl/>
          <w:lang w:bidi="fa-IR"/>
        </w:rPr>
      </w:pPr>
      <w:r w:rsidRPr="000D35BD">
        <w:rPr>
          <w:rFonts w:hint="cs"/>
          <w:sz w:val="40"/>
          <w:szCs w:val="40"/>
          <w:vertAlign w:val="superscript"/>
          <w:rtl/>
          <w:lang w:bidi="fa-IR"/>
        </w:rPr>
        <w:t>منتقى الأصول، ج‏2، ص: 60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376"/>
    <w:rsid w:val="000169AC"/>
    <w:rsid w:val="00071576"/>
    <w:rsid w:val="000820AA"/>
    <w:rsid w:val="000D10C5"/>
    <w:rsid w:val="000D35BD"/>
    <w:rsid w:val="00186376"/>
    <w:rsid w:val="001B0E12"/>
    <w:rsid w:val="0020427D"/>
    <w:rsid w:val="002304B2"/>
    <w:rsid w:val="00280D22"/>
    <w:rsid w:val="003C168C"/>
    <w:rsid w:val="0044610D"/>
    <w:rsid w:val="00450802"/>
    <w:rsid w:val="005B72D7"/>
    <w:rsid w:val="005C7205"/>
    <w:rsid w:val="005C7DBE"/>
    <w:rsid w:val="006104CE"/>
    <w:rsid w:val="00673D15"/>
    <w:rsid w:val="00677B00"/>
    <w:rsid w:val="006C519A"/>
    <w:rsid w:val="007568DE"/>
    <w:rsid w:val="00785C24"/>
    <w:rsid w:val="008A591A"/>
    <w:rsid w:val="00960A18"/>
    <w:rsid w:val="00A001C9"/>
    <w:rsid w:val="00A434F1"/>
    <w:rsid w:val="00B23A87"/>
    <w:rsid w:val="00B26E32"/>
    <w:rsid w:val="00BB744C"/>
    <w:rsid w:val="00CA1461"/>
    <w:rsid w:val="00D00BCE"/>
    <w:rsid w:val="00D715EC"/>
    <w:rsid w:val="00D82D2D"/>
    <w:rsid w:val="00DA69D6"/>
    <w:rsid w:val="00EE08A4"/>
    <w:rsid w:val="00FD7A74"/>
    <w:rsid w:val="00FE18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A69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69D6"/>
    <w:rPr>
      <w:sz w:val="20"/>
      <w:szCs w:val="20"/>
    </w:rPr>
  </w:style>
  <w:style w:type="character" w:styleId="FootnoteReference">
    <w:name w:val="footnote reference"/>
    <w:basedOn w:val="DefaultParagraphFont"/>
    <w:uiPriority w:val="99"/>
    <w:semiHidden/>
    <w:unhideWhenUsed/>
    <w:rsid w:val="00DA69D6"/>
    <w:rPr>
      <w:vertAlign w:val="superscript"/>
    </w:rPr>
  </w:style>
  <w:style w:type="paragraph" w:styleId="NormalWeb">
    <w:name w:val="Normal (Web)"/>
    <w:basedOn w:val="Normal"/>
    <w:uiPriority w:val="99"/>
    <w:semiHidden/>
    <w:unhideWhenUsed/>
    <w:rsid w:val="00A001C9"/>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A69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69D6"/>
    <w:rPr>
      <w:sz w:val="20"/>
      <w:szCs w:val="20"/>
    </w:rPr>
  </w:style>
  <w:style w:type="character" w:styleId="FootnoteReference">
    <w:name w:val="footnote reference"/>
    <w:basedOn w:val="DefaultParagraphFont"/>
    <w:uiPriority w:val="99"/>
    <w:semiHidden/>
    <w:unhideWhenUsed/>
    <w:rsid w:val="00DA69D6"/>
    <w:rPr>
      <w:vertAlign w:val="superscript"/>
    </w:rPr>
  </w:style>
  <w:style w:type="paragraph" w:styleId="NormalWeb">
    <w:name w:val="Normal (Web)"/>
    <w:basedOn w:val="Normal"/>
    <w:uiPriority w:val="99"/>
    <w:semiHidden/>
    <w:unhideWhenUsed/>
    <w:rsid w:val="00A001C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9947">
      <w:bodyDiv w:val="1"/>
      <w:marLeft w:val="0"/>
      <w:marRight w:val="0"/>
      <w:marTop w:val="0"/>
      <w:marBottom w:val="0"/>
      <w:divBdr>
        <w:top w:val="none" w:sz="0" w:space="0" w:color="auto"/>
        <w:left w:val="none" w:sz="0" w:space="0" w:color="auto"/>
        <w:bottom w:val="none" w:sz="0" w:space="0" w:color="auto"/>
        <w:right w:val="none" w:sz="0" w:space="0" w:color="auto"/>
      </w:divBdr>
    </w:div>
    <w:div w:id="145517510">
      <w:bodyDiv w:val="1"/>
      <w:marLeft w:val="0"/>
      <w:marRight w:val="0"/>
      <w:marTop w:val="0"/>
      <w:marBottom w:val="0"/>
      <w:divBdr>
        <w:top w:val="none" w:sz="0" w:space="0" w:color="auto"/>
        <w:left w:val="none" w:sz="0" w:space="0" w:color="auto"/>
        <w:bottom w:val="none" w:sz="0" w:space="0" w:color="auto"/>
        <w:right w:val="none" w:sz="0" w:space="0" w:color="auto"/>
      </w:divBdr>
    </w:div>
    <w:div w:id="214657629">
      <w:bodyDiv w:val="1"/>
      <w:marLeft w:val="0"/>
      <w:marRight w:val="0"/>
      <w:marTop w:val="0"/>
      <w:marBottom w:val="0"/>
      <w:divBdr>
        <w:top w:val="none" w:sz="0" w:space="0" w:color="auto"/>
        <w:left w:val="none" w:sz="0" w:space="0" w:color="auto"/>
        <w:bottom w:val="none" w:sz="0" w:space="0" w:color="auto"/>
        <w:right w:val="none" w:sz="0" w:space="0" w:color="auto"/>
      </w:divBdr>
    </w:div>
    <w:div w:id="773522220">
      <w:bodyDiv w:val="1"/>
      <w:marLeft w:val="0"/>
      <w:marRight w:val="0"/>
      <w:marTop w:val="0"/>
      <w:marBottom w:val="0"/>
      <w:divBdr>
        <w:top w:val="none" w:sz="0" w:space="0" w:color="auto"/>
        <w:left w:val="none" w:sz="0" w:space="0" w:color="auto"/>
        <w:bottom w:val="none" w:sz="0" w:space="0" w:color="auto"/>
        <w:right w:val="none" w:sz="0" w:space="0" w:color="auto"/>
      </w:divBdr>
    </w:div>
    <w:div w:id="800808060">
      <w:bodyDiv w:val="1"/>
      <w:marLeft w:val="0"/>
      <w:marRight w:val="0"/>
      <w:marTop w:val="0"/>
      <w:marBottom w:val="0"/>
      <w:divBdr>
        <w:top w:val="none" w:sz="0" w:space="0" w:color="auto"/>
        <w:left w:val="none" w:sz="0" w:space="0" w:color="auto"/>
        <w:bottom w:val="none" w:sz="0" w:space="0" w:color="auto"/>
        <w:right w:val="none" w:sz="0" w:space="0" w:color="auto"/>
      </w:divBdr>
    </w:div>
    <w:div w:id="813836553">
      <w:bodyDiv w:val="1"/>
      <w:marLeft w:val="0"/>
      <w:marRight w:val="0"/>
      <w:marTop w:val="0"/>
      <w:marBottom w:val="0"/>
      <w:divBdr>
        <w:top w:val="none" w:sz="0" w:space="0" w:color="auto"/>
        <w:left w:val="none" w:sz="0" w:space="0" w:color="auto"/>
        <w:bottom w:val="none" w:sz="0" w:space="0" w:color="auto"/>
        <w:right w:val="none" w:sz="0" w:space="0" w:color="auto"/>
      </w:divBdr>
    </w:div>
    <w:div w:id="1417823344">
      <w:bodyDiv w:val="1"/>
      <w:marLeft w:val="0"/>
      <w:marRight w:val="0"/>
      <w:marTop w:val="0"/>
      <w:marBottom w:val="0"/>
      <w:divBdr>
        <w:top w:val="none" w:sz="0" w:space="0" w:color="auto"/>
        <w:left w:val="none" w:sz="0" w:space="0" w:color="auto"/>
        <w:bottom w:val="none" w:sz="0" w:space="0" w:color="auto"/>
        <w:right w:val="none" w:sz="0" w:space="0" w:color="auto"/>
      </w:divBdr>
    </w:div>
    <w:div w:id="1485203532">
      <w:bodyDiv w:val="1"/>
      <w:marLeft w:val="0"/>
      <w:marRight w:val="0"/>
      <w:marTop w:val="0"/>
      <w:marBottom w:val="0"/>
      <w:divBdr>
        <w:top w:val="none" w:sz="0" w:space="0" w:color="auto"/>
        <w:left w:val="none" w:sz="0" w:space="0" w:color="auto"/>
        <w:bottom w:val="none" w:sz="0" w:space="0" w:color="auto"/>
        <w:right w:val="none" w:sz="0" w:space="0" w:color="auto"/>
      </w:divBdr>
    </w:div>
    <w:div w:id="1594318310">
      <w:bodyDiv w:val="1"/>
      <w:marLeft w:val="0"/>
      <w:marRight w:val="0"/>
      <w:marTop w:val="0"/>
      <w:marBottom w:val="0"/>
      <w:divBdr>
        <w:top w:val="none" w:sz="0" w:space="0" w:color="auto"/>
        <w:left w:val="none" w:sz="0" w:space="0" w:color="auto"/>
        <w:bottom w:val="none" w:sz="0" w:space="0" w:color="auto"/>
        <w:right w:val="none" w:sz="0" w:space="0" w:color="auto"/>
      </w:divBdr>
    </w:div>
    <w:div w:id="1660842085">
      <w:bodyDiv w:val="1"/>
      <w:marLeft w:val="0"/>
      <w:marRight w:val="0"/>
      <w:marTop w:val="0"/>
      <w:marBottom w:val="0"/>
      <w:divBdr>
        <w:top w:val="none" w:sz="0" w:space="0" w:color="auto"/>
        <w:left w:val="none" w:sz="0" w:space="0" w:color="auto"/>
        <w:bottom w:val="none" w:sz="0" w:space="0" w:color="auto"/>
        <w:right w:val="none" w:sz="0" w:space="0" w:color="auto"/>
      </w:divBdr>
    </w:div>
    <w:div w:id="1733624546">
      <w:bodyDiv w:val="1"/>
      <w:marLeft w:val="0"/>
      <w:marRight w:val="0"/>
      <w:marTop w:val="0"/>
      <w:marBottom w:val="0"/>
      <w:divBdr>
        <w:top w:val="none" w:sz="0" w:space="0" w:color="auto"/>
        <w:left w:val="none" w:sz="0" w:space="0" w:color="auto"/>
        <w:bottom w:val="none" w:sz="0" w:space="0" w:color="auto"/>
        <w:right w:val="none" w:sz="0" w:space="0" w:color="auto"/>
      </w:divBdr>
    </w:div>
    <w:div w:id="183228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1</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31</cp:revision>
  <dcterms:created xsi:type="dcterms:W3CDTF">2019-01-29T07:28:00Z</dcterms:created>
  <dcterms:modified xsi:type="dcterms:W3CDTF">2020-08-24T02:20:00Z</dcterms:modified>
</cp:coreProperties>
</file>